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0" w:right="0" w:firstLine="0"/>
        <w:jc w:val="center"/>
        <w:spacing w:before="360" w:line="60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Информация для граждан по восстановлению в родительских правах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58"/>
        <w:ind w:left="0" w:right="0" w:firstLine="0"/>
        <w:jc w:val="center"/>
        <w:spacing w:before="270" w:line="359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ПАМЯТКА ДЛЯ ГРАЖДАН: </w:t>
        <w:br/>
        <w:t xml:space="preserve">ПОРЯДОК ВОССТАНОВЛЕНИЯ В РОДИТЕЛЬСКИХ ПРАВАХ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Какими законами регулируются вопросы восстановления в родительских правах лиц, лишенных таких прав в отношении своих детей?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Основания и порядок восстановления в родительских правах регулируются Семейным кодексом РФ (статья 72), Гражданским процессуальным кодексом РФ (подраздел II раздела II).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Отдельные вопросы применения указанных норм разъяснены в Постановлении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 при непосредственной угрозе его жизни или здоровью, а также при ограничении или лишении родительских прав».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Основания восстановления в родительских правах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Родители (один из них) могут быть восстановлены в родительских правах только в случаях, если они изменили поведение, образ жизни и (или) отношение к воспитанию ребенка.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Например, если причинами лишения родительских прав были пристрастие родителя к алкоголю, антисанитарные условия проживания ребенка, отсутствие заработка у родителя, который позволял бы материально содержать сына или дочь, безразличное отношение к поведению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развитию несовершеннолетнего, то удовлетворение иска возможно, если истцом будет доказано, что он избавился от алкогольной зависимости, привел жилое помещение в нормальное состояние, устроился на работу, наладил общение с ребенком, не допускает антиобще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ственного поведения (совершения правонарушений и преступлений), платит алименты на содержание несовершеннолетнего.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качестве доказательств истец может представить в суд трудовой договор, справку о заработке, справку об отсутствии задолженности по уплате алиментов, справку от нарколога о том, что лицо не состоит на учете в качестве страдающего алкоголизмом и наркомание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й, и т. д.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Истец может ходатайствовать о приглашении в суд свидетелей, которые подтвердят факты нормального общения истца с ребенком, исправление поведения гражданина.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 опеки и попечительства в обязательном порядке по поручению суда проводит обследование условий жизни лица, претендующего на воспитание ребенка (родителя (родителей), обратившегося в суд с иском о восстановлении в родительских правах).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этом суд отказывает в удовлетворении иска, если родители изменили свое поведение и могут надлежащим образом воспитывать ребенка, однако ребенок усыновлен и усыновление не отменено в установленном порядке, а также в случае, когда ребенок, достигший возр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аста десяти лет, возражает против восстановления родителей в родительских правах, независимо от того, по каким мотивам ребенок не согласен на восстановление родительских прав (абзацы 2 и 3 пункта 4 статьи 72 Семейного кодекса РФ).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Суд также вправе с учетом мнения ребенка отказать в удовлетворении иска родителей (одного из них) о восстановлении в родительских правах, если придет к выводу о том, что такое восстановление противоречит интересам ребенка (абзац 1 пункта 4 статьи 72 Семейн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 кодекса РФ).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Кто и куда вправе обратиться с требованием о восстановлении в родительских правах?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Требование предъявляется к лицу, на попечении которого находится ребенок (другой родитель, опекун (попечитель), приемные родители, патронатные воспитатели, органы опеки и попечительства, организация для детей-сирот и детей, оставшихся без попечения родител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ей).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Дела подлежат разрешению районным судом по месту жительства (нахождения) ответчика (статьи 24 и 28 Гражданского процессуального кодекса РФ).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пунктом 1 статьи 54 Семейного кодекса РФ ребенком признается лицо, не достигшее возраста восемнадцати лет (совершеннолетия).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(пункт 2 статьи 21, пункт 1 статьи 27 Гражданского кодекса РФ), судья отказывает в принятии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скового заявления, а если производство по делу возбуждено, суд прекращает его.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Удовлетворяя иск о восстановлении в родительских правах и о возвращении ребенка родителям (одному из них), суд разрешает вопрос о прекращении взыскания с этих родителей (одного из них) алиментов на ребенка.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трех дней со дня вступления в законную силу решения суда о восстановлении в родительских правах суд направляет выписку из такого решения в орган записи актов гражданского состояния или в многофункциональный центр предоставления государственных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Помощь органа опеки и попечительства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Лишенные родительских прав лица, если они исправили свое поведение, но не знают, как правильно действовать в целях восстановления в родительских правах, всегда могут получить помощь в органе опеки и попечительства: разъяснение законодательства, содействие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налаживании общения с ребенком, сборе необходимых документов. При этом следует помнить, что орган опеки и попечительства в своей деятельности руководствуется, прежде всего, интересами ребенка. Обращение туда лишенного родительских прав гражданина за оказ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анием содействия не предрешает положительного заключения этого органа в вопросе о допустимости восстановления в родительских правах.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90" w:after="210" w:line="32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Именно истец должен доказать свое исправление и наличие возможности и желания обеспечить несовершеннолетнему достойную жизнь и правильное воспитание.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2"/>
        <w:ind w:left="0" w:right="0" w:firstLine="0"/>
        <w:jc w:val="both"/>
        <w:spacing w:before="180" w:after="180" w:line="74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Документы и свидетельства, подтверждающие исправление родителей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8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Рассматривая заявление о восстановлении лица в родительских правах, суд, прежде всего, обязан руководствоваться интересами ребенка. Поэтому всестороннее изучение, как письменных доказательств, так и показаний свидетелей проводится тщательно и пристр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астно.</w:t>
        <w:br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Помимо устных свидетельств лиц, участвующих в процессе и осведомленных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жизни истцов, суд принимает во внимание и множество документов, например: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Справка о выплате алиментов.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Справка о посещениях ребенка после лишения родительских прав из государственных интернатных организаций.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Справка о наличии (отсутствии) судимости.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Характеристика с места работы (с указанием должности и периода работы).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Характеристика от участкового уполномоченного.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Общественная характеристика, выданная администрацией поселения.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Справка из наркологического и психоневрологического диспансеров, от участкового врача.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Справка о доходах (за 6 последних месяцев).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Документы, подтверждающие право собственности на жилое помещение.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Заключение органов опеки и попечительства.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другие документы, подтверждающие возможность и готовность родителей, лишенных (ограниченных) родительских прав к восстановлению детско-родительских отношений и семьи.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8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Все указанные выше документальные свидетельства и устные показания должны подтвердить искренность намерений лишенного родительских прав лица, а также его способность надлежащим образом осуществлять воспитание и содержание ребенка.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8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епременным условием восстановления родительских прав является доказательство того, что возвращение ребенка в семью соответствует его интересам, обеспечит его всестороннее развитие, воспитание и уважение его человеческого достоинства.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2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Droid Sans Devanagari">
    <w:panose1 w:val="020B0606030804020204"/>
  </w:font>
  <w:font w:name="Calibri">
    <w:panose1 w:val="020F0502020204030204"/>
  </w:font>
  <w:font w:name="Consolas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8"/>
      <w:szCs w:val="28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WW8Num1z0"/>
    <w:next w:val="836"/>
    <w:link w:val="832"/>
  </w:style>
  <w:style w:type="character" w:styleId="837">
    <w:name w:val="WW8Num2z0"/>
    <w:next w:val="837"/>
    <w:link w:val="832"/>
  </w:style>
  <w:style w:type="character" w:styleId="838">
    <w:name w:val="WW8Num3z0"/>
    <w:next w:val="838"/>
    <w:link w:val="832"/>
  </w:style>
  <w:style w:type="character" w:styleId="839">
    <w:name w:val="WW8Num4z0"/>
    <w:next w:val="839"/>
    <w:link w:val="832"/>
  </w:style>
  <w:style w:type="character" w:styleId="840">
    <w:name w:val="WW8Num5z0"/>
    <w:next w:val="840"/>
    <w:link w:val="832"/>
    <w:rPr>
      <w:color w:val="000000"/>
    </w:rPr>
  </w:style>
  <w:style w:type="character" w:styleId="841">
    <w:name w:val="WW8Num6z0"/>
    <w:next w:val="841"/>
    <w:link w:val="832"/>
  </w:style>
  <w:style w:type="character" w:styleId="842">
    <w:name w:val="WW8Num7z0"/>
    <w:next w:val="842"/>
    <w:link w:val="832"/>
    <w:rPr>
      <w:color w:val="000000"/>
    </w:rPr>
  </w:style>
  <w:style w:type="character" w:styleId="843">
    <w:name w:val="WW8Num8z0"/>
    <w:next w:val="843"/>
    <w:link w:val="832"/>
    <w:rPr>
      <w:rFonts w:ascii="Times New Roman" w:hAnsi="Times New Roman" w:eastAsia="Times New Roman" w:cs="Times New Roman"/>
    </w:rPr>
  </w:style>
  <w:style w:type="character" w:styleId="844">
    <w:name w:val="WW8Num9z0"/>
    <w:next w:val="844"/>
    <w:link w:val="832"/>
    <w:rPr>
      <w:color w:val="000000"/>
    </w:rPr>
  </w:style>
  <w:style w:type="character" w:styleId="845">
    <w:name w:val="WW8Num10z0"/>
    <w:next w:val="845"/>
    <w:link w:val="832"/>
    <w:rPr>
      <w:b w:val="0"/>
    </w:rPr>
  </w:style>
  <w:style w:type="character" w:styleId="846">
    <w:name w:val="WW8Num11z0"/>
    <w:next w:val="846"/>
    <w:link w:val="832"/>
  </w:style>
  <w:style w:type="character" w:styleId="847">
    <w:name w:val="WW8Num12z0"/>
    <w:next w:val="847"/>
    <w:link w:val="832"/>
  </w:style>
  <w:style w:type="character" w:styleId="848">
    <w:name w:val="WW8Num13z0"/>
    <w:next w:val="848"/>
    <w:link w:val="832"/>
  </w:style>
  <w:style w:type="character" w:styleId="849">
    <w:name w:val="WW8Num14z0"/>
    <w:next w:val="849"/>
    <w:link w:val="832"/>
  </w:style>
  <w:style w:type="character" w:styleId="850">
    <w:name w:val="Основной шрифт абзаца1"/>
    <w:next w:val="850"/>
    <w:link w:val="832"/>
  </w:style>
  <w:style w:type="character" w:styleId="851">
    <w:name w:val="Верхний колонтитул Знак"/>
    <w:next w:val="851"/>
    <w:link w:val="832"/>
    <w:rPr>
      <w:sz w:val="28"/>
      <w:szCs w:val="28"/>
      <w:lang w:val="ru-RU" w:bidi="ar-SA"/>
    </w:rPr>
  </w:style>
  <w:style w:type="character" w:styleId="852">
    <w:name w:val="Гиперссылка"/>
    <w:next w:val="852"/>
    <w:link w:val="832"/>
    <w:rPr>
      <w:rFonts w:cs="Times New Roman"/>
      <w:color w:val="0000ff"/>
      <w:u w:val="single"/>
    </w:rPr>
  </w:style>
  <w:style w:type="character" w:styleId="853">
    <w:name w:val="Основной текст 2 Знак"/>
    <w:next w:val="853"/>
    <w:link w:val="832"/>
    <w:rPr>
      <w:sz w:val="28"/>
      <w:szCs w:val="28"/>
      <w:lang w:val="ru-RU" w:bidi="ar-SA"/>
    </w:rPr>
  </w:style>
  <w:style w:type="character" w:styleId="854">
    <w:name w:val="Основной текст Знак"/>
    <w:next w:val="854"/>
    <w:link w:val="832"/>
    <w:rPr>
      <w:sz w:val="28"/>
      <w:szCs w:val="28"/>
    </w:rPr>
  </w:style>
  <w:style w:type="character" w:styleId="855">
    <w:name w:val="Название Знак"/>
    <w:next w:val="855"/>
    <w:link w:val="832"/>
    <w:rPr>
      <w:sz w:val="28"/>
    </w:rPr>
  </w:style>
  <w:style w:type="character" w:styleId="856">
    <w:name w:val="Основной текст с отступом Знак"/>
    <w:next w:val="856"/>
    <w:link w:val="832"/>
    <w:rPr>
      <w:sz w:val="28"/>
      <w:szCs w:val="28"/>
    </w:rPr>
  </w:style>
  <w:style w:type="character" w:styleId="857">
    <w:name w:val="Выделение"/>
    <w:next w:val="857"/>
    <w:link w:val="832"/>
    <w:qFormat/>
    <w:rPr>
      <w:b/>
      <w:bCs/>
      <w:i w:val="0"/>
      <w:iCs w:val="0"/>
    </w:rPr>
  </w:style>
  <w:style w:type="character" w:styleId="858">
    <w:name w:val="Просмотренная гиперссылка"/>
    <w:next w:val="858"/>
    <w:link w:val="832"/>
    <w:rPr>
      <w:color w:val="800080"/>
      <w:u w:val="single"/>
    </w:rPr>
  </w:style>
  <w:style w:type="character" w:styleId="859">
    <w:name w:val="Текст Знак"/>
    <w:next w:val="859"/>
    <w:link w:val="832"/>
    <w:rPr>
      <w:rFonts w:ascii="Consolas" w:hAnsi="Consolas" w:eastAsia="Calibri" w:cs="Consolas"/>
      <w:sz w:val="21"/>
      <w:szCs w:val="21"/>
    </w:rPr>
  </w:style>
  <w:style w:type="character" w:styleId="860">
    <w:name w:val="Строгий"/>
    <w:next w:val="860"/>
    <w:link w:val="832"/>
    <w:qFormat/>
    <w:rPr>
      <w:b/>
      <w:bCs/>
    </w:rPr>
  </w:style>
  <w:style w:type="paragraph" w:styleId="861">
    <w:name w:val="Заголовок"/>
    <w:basedOn w:val="832"/>
    <w:next w:val="862"/>
    <w:link w:val="832"/>
    <w:pPr>
      <w:ind w:left="0" w:right="0" w:firstLine="851"/>
      <w:jc w:val="center"/>
    </w:pPr>
    <w:rPr>
      <w:szCs w:val="20"/>
      <w:lang w:val="en-US"/>
    </w:rPr>
  </w:style>
  <w:style w:type="paragraph" w:styleId="862">
    <w:name w:val="Основной текст"/>
    <w:basedOn w:val="832"/>
    <w:next w:val="862"/>
    <w:link w:val="832"/>
    <w:pPr>
      <w:spacing w:before="0" w:after="120"/>
    </w:pPr>
    <w:rPr>
      <w:lang w:val="en-US"/>
    </w:rPr>
  </w:style>
  <w:style w:type="paragraph" w:styleId="863">
    <w:name w:val="Список"/>
    <w:basedOn w:val="862"/>
    <w:next w:val="863"/>
    <w:link w:val="832"/>
    <w:rPr>
      <w:rFonts w:cs="Droid Sans Devanagari"/>
    </w:rPr>
  </w:style>
  <w:style w:type="paragraph" w:styleId="864">
    <w:name w:val="Название объекта"/>
    <w:basedOn w:val="832"/>
    <w:next w:val="864"/>
    <w:link w:val="83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5">
    <w:name w:val="Указатель1"/>
    <w:basedOn w:val="832"/>
    <w:next w:val="865"/>
    <w:link w:val="832"/>
    <w:pPr>
      <w:suppressLineNumbers/>
    </w:pPr>
    <w:rPr>
      <w:rFonts w:cs="Droid Sans Devanagari"/>
    </w:rPr>
  </w:style>
  <w:style w:type="paragraph" w:styleId="866">
    <w:name w:val="Колонтитул"/>
    <w:basedOn w:val="832"/>
    <w:next w:val="866"/>
    <w:link w:val="832"/>
    <w:pPr>
      <w:tabs>
        <w:tab w:val="center" w:pos="4819" w:leader="none"/>
        <w:tab w:val="right" w:pos="9638" w:leader="none"/>
      </w:tabs>
      <w:suppressLineNumbers/>
    </w:pPr>
  </w:style>
  <w:style w:type="paragraph" w:styleId="867">
    <w:name w:val="Верхний колонтитул"/>
    <w:basedOn w:val="832"/>
    <w:next w:val="867"/>
    <w:link w:val="832"/>
  </w:style>
  <w:style w:type="paragraph" w:styleId="868">
    <w:name w:val="Основной текст 21"/>
    <w:basedOn w:val="832"/>
    <w:next w:val="868"/>
    <w:link w:val="832"/>
    <w:pPr>
      <w:jc w:val="both"/>
    </w:pPr>
  </w:style>
  <w:style w:type="paragraph" w:styleId="869">
    <w:name w:val="Основной текст с отступом"/>
    <w:basedOn w:val="832"/>
    <w:next w:val="869"/>
    <w:link w:val="832"/>
    <w:pPr>
      <w:ind w:left="283" w:right="0" w:firstLine="0"/>
      <w:spacing w:before="0" w:after="120"/>
    </w:pPr>
    <w:rPr>
      <w:lang w:val="en-US"/>
    </w:rPr>
  </w:style>
  <w:style w:type="paragraph" w:styleId="870">
    <w:name w:val="Текст выноски"/>
    <w:basedOn w:val="832"/>
    <w:next w:val="870"/>
    <w:link w:val="832"/>
    <w:rPr>
      <w:rFonts w:ascii="Tahoma" w:hAnsi="Tahoma" w:cs="Tahoma"/>
      <w:sz w:val="16"/>
      <w:szCs w:val="16"/>
    </w:rPr>
  </w:style>
  <w:style w:type="paragraph" w:styleId="871">
    <w:name w:val="Знак"/>
    <w:basedOn w:val="832"/>
    <w:next w:val="871"/>
    <w:link w:val="832"/>
    <w:pPr>
      <w:spacing w:before="0" w:after="160" w:line="240" w:lineRule="exact"/>
    </w:pPr>
    <w:rPr>
      <w:rFonts w:eastAsia="Calibri"/>
      <w:sz w:val="20"/>
      <w:szCs w:val="20"/>
      <w:lang w:eastAsia="zh-CN"/>
    </w:rPr>
  </w:style>
  <w:style w:type="paragraph" w:styleId="872">
    <w:name w:val="Обычный (веб)"/>
    <w:basedOn w:val="832"/>
    <w:next w:val="872"/>
    <w:link w:val="832"/>
    <w:pPr>
      <w:spacing w:before="280" w:after="280"/>
    </w:pPr>
    <w:rPr>
      <w:sz w:val="24"/>
      <w:szCs w:val="24"/>
    </w:rPr>
  </w:style>
  <w:style w:type="paragraph" w:styleId="873">
    <w:name w:val="ConsTitle"/>
    <w:next w:val="873"/>
    <w:link w:val="832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874">
    <w:name w:val="s4-wptoptable1"/>
    <w:basedOn w:val="832"/>
    <w:next w:val="874"/>
    <w:link w:val="832"/>
    <w:pPr>
      <w:spacing w:before="280" w:after="280"/>
    </w:pPr>
    <w:rPr>
      <w:sz w:val="24"/>
      <w:szCs w:val="24"/>
    </w:rPr>
  </w:style>
  <w:style w:type="paragraph" w:styleId="875">
    <w:name w:val="Абзац списка"/>
    <w:basedOn w:val="832"/>
    <w:next w:val="875"/>
    <w:link w:val="832"/>
    <w:qFormat/>
    <w:pPr>
      <w:contextualSpacing/>
      <w:ind w:left="720" w:right="0" w:firstLine="0"/>
      <w:spacing w:before="0" w:after="0"/>
    </w:pPr>
  </w:style>
  <w:style w:type="paragraph" w:styleId="876">
    <w:name w:val="Без интервала"/>
    <w:next w:val="876"/>
    <w:link w:val="832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877">
    <w:name w:val="ConsPlusNormal"/>
    <w:next w:val="877"/>
    <w:link w:val="83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78">
    <w:name w:val="Текст1"/>
    <w:basedOn w:val="832"/>
    <w:next w:val="878"/>
    <w:link w:val="832"/>
    <w:rPr>
      <w:rFonts w:ascii="Consolas" w:hAnsi="Consolas" w:eastAsia="Calibri" w:cs="Consolas"/>
      <w:sz w:val="21"/>
      <w:szCs w:val="21"/>
      <w:lang w:val="en-US"/>
    </w:rPr>
  </w:style>
  <w:style w:type="paragraph" w:styleId="879">
    <w:name w:val="Содержимое таблицы"/>
    <w:basedOn w:val="832"/>
    <w:next w:val="879"/>
    <w:link w:val="832"/>
    <w:pPr>
      <w:widowControl w:val="off"/>
      <w:suppressLineNumbers/>
    </w:pPr>
  </w:style>
  <w:style w:type="paragraph" w:styleId="880">
    <w:name w:val="Заголовок таблицы"/>
    <w:basedOn w:val="879"/>
    <w:next w:val="880"/>
    <w:link w:val="832"/>
    <w:pPr>
      <w:jc w:val="center"/>
      <w:suppressLineNumbers/>
    </w:pPr>
    <w:rPr>
      <w:b/>
      <w:bCs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maaa</dc:creator>
  <cp:revision>8</cp:revision>
  <dcterms:created xsi:type="dcterms:W3CDTF">2025-02-17T12:20:00Z</dcterms:created>
  <dcterms:modified xsi:type="dcterms:W3CDTF">2025-04-11T07:07:54Z</dcterms:modified>
  <cp:version>1048576</cp:version>
</cp:coreProperties>
</file>